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FDDF" w14:textId="77777777" w:rsidR="00B4506F" w:rsidRPr="007C479C" w:rsidRDefault="008E7C28" w:rsidP="008E7C28">
      <w:pPr>
        <w:jc w:val="center"/>
        <w:rPr>
          <w:rFonts w:ascii="KaiTi" w:eastAsia="KaiTi" w:hAnsi="KaiTi"/>
          <w:sz w:val="36"/>
          <w:szCs w:val="36"/>
        </w:rPr>
      </w:pPr>
      <w:r w:rsidRPr="007C479C">
        <w:rPr>
          <w:rFonts w:ascii="KaiTi" w:eastAsia="KaiTi" w:hAnsi="KaiTi" w:hint="eastAsia"/>
          <w:sz w:val="36"/>
          <w:szCs w:val="36"/>
        </w:rPr>
        <w:t>台灣政治學會《台灣政治學刊》申辦要點</w:t>
      </w:r>
    </w:p>
    <w:p w14:paraId="17A51042" w14:textId="77777777" w:rsidR="00103D29" w:rsidRPr="007C479C" w:rsidRDefault="00103D29" w:rsidP="008E7C28">
      <w:pPr>
        <w:jc w:val="right"/>
        <w:rPr>
          <w:rFonts w:ascii="KaiTi" w:eastAsia="KaiTi" w:hAnsi="KaiTi"/>
          <w:sz w:val="20"/>
          <w:szCs w:val="20"/>
        </w:rPr>
      </w:pPr>
      <w:r w:rsidRPr="007C479C">
        <w:rPr>
          <w:rFonts w:ascii="KaiTi" w:eastAsia="KaiTi" w:hAnsi="KaiTi" w:hint="eastAsia"/>
          <w:sz w:val="20"/>
          <w:szCs w:val="20"/>
        </w:rPr>
        <w:t>中華民國九十二年十二月十三日台灣政治學會會員大會報備通過</w:t>
      </w:r>
    </w:p>
    <w:p w14:paraId="326D68F4" w14:textId="77777777" w:rsidR="008E7C28" w:rsidRPr="007C479C" w:rsidRDefault="008E7C28" w:rsidP="008E7C28">
      <w:pPr>
        <w:jc w:val="right"/>
        <w:rPr>
          <w:rFonts w:ascii="KaiTi" w:eastAsia="KaiTi" w:hAnsi="KaiTi"/>
          <w:sz w:val="20"/>
          <w:szCs w:val="20"/>
        </w:rPr>
      </w:pPr>
      <w:r w:rsidRPr="007C479C">
        <w:rPr>
          <w:rFonts w:ascii="KaiTi" w:eastAsia="KaiTi" w:hAnsi="KaiTi" w:hint="eastAsia"/>
          <w:sz w:val="20"/>
          <w:szCs w:val="20"/>
        </w:rPr>
        <w:t>中華民國九十二年六月七日台灣政治學會第二屆</w:t>
      </w:r>
      <w:r w:rsidR="00103D29" w:rsidRPr="007C479C">
        <w:rPr>
          <w:rFonts w:ascii="KaiTi" w:eastAsia="KaiTi" w:hAnsi="KaiTi" w:hint="eastAsia"/>
          <w:sz w:val="20"/>
          <w:szCs w:val="20"/>
        </w:rPr>
        <w:t>第</w:t>
      </w:r>
      <w:r w:rsidRPr="007C479C">
        <w:rPr>
          <w:rFonts w:ascii="KaiTi" w:eastAsia="KaiTi" w:hAnsi="KaiTi" w:hint="eastAsia"/>
          <w:sz w:val="20"/>
          <w:szCs w:val="20"/>
        </w:rPr>
        <w:t>三次理監事會議通過</w:t>
      </w:r>
    </w:p>
    <w:p w14:paraId="2A601C3A" w14:textId="77777777" w:rsidR="00103D29" w:rsidRPr="007C479C" w:rsidRDefault="00103D29" w:rsidP="008E7C28">
      <w:pPr>
        <w:jc w:val="right"/>
        <w:rPr>
          <w:rFonts w:ascii="KaiTi" w:eastAsia="KaiTi" w:hAnsi="KaiTi"/>
          <w:sz w:val="20"/>
          <w:szCs w:val="20"/>
        </w:rPr>
      </w:pPr>
      <w:r w:rsidRPr="007C479C">
        <w:rPr>
          <w:rFonts w:ascii="KaiTi" w:eastAsia="KaiTi" w:hAnsi="KaiTi" w:hint="eastAsia"/>
          <w:sz w:val="20"/>
          <w:szCs w:val="20"/>
        </w:rPr>
        <w:t>中國民國一百年修正通過</w:t>
      </w:r>
    </w:p>
    <w:p w14:paraId="4427B0C4" w14:textId="77777777" w:rsidR="008E7C28" w:rsidRPr="007C479C" w:rsidRDefault="008E7C28" w:rsidP="008E7C28">
      <w:pPr>
        <w:jc w:val="right"/>
        <w:rPr>
          <w:rFonts w:ascii="KaiTi" w:eastAsia="KaiTi" w:hAnsi="KaiTi"/>
          <w:sz w:val="20"/>
          <w:szCs w:val="20"/>
        </w:rPr>
      </w:pPr>
    </w:p>
    <w:p w14:paraId="41B524EC" w14:textId="77777777" w:rsidR="008E7C28" w:rsidRPr="007C479C" w:rsidRDefault="008E7C28" w:rsidP="008E7C28">
      <w:pPr>
        <w:pStyle w:val="a3"/>
        <w:numPr>
          <w:ilvl w:val="0"/>
          <w:numId w:val="1"/>
        </w:numPr>
        <w:ind w:leftChars="0" w:right="200"/>
        <w:rPr>
          <w:rFonts w:ascii="KaiTi" w:eastAsia="KaiTi" w:hAnsi="KaiTi"/>
          <w:szCs w:val="24"/>
        </w:rPr>
      </w:pPr>
      <w:r w:rsidRPr="007C479C">
        <w:rPr>
          <w:rFonts w:ascii="KaiTi" w:eastAsia="KaiTi" w:hAnsi="KaiTi" w:hint="eastAsia"/>
          <w:noProof/>
          <w:szCs w:val="24"/>
        </w:rPr>
        <w:t>台灣政治學會(以下簡稱本學會)理事會為督促《台灣政治學刊》順利運作，訂定本要點。</w:t>
      </w:r>
    </w:p>
    <w:p w14:paraId="5D5643C8" w14:textId="77777777" w:rsidR="008E7C28" w:rsidRPr="007C479C" w:rsidRDefault="008E7C28" w:rsidP="008E7C28">
      <w:pPr>
        <w:pStyle w:val="a3"/>
        <w:numPr>
          <w:ilvl w:val="0"/>
          <w:numId w:val="1"/>
        </w:numPr>
        <w:ind w:leftChars="0" w:right="200"/>
        <w:rPr>
          <w:rFonts w:ascii="KaiTi" w:eastAsia="KaiTi" w:hAnsi="KaiTi"/>
          <w:szCs w:val="24"/>
        </w:rPr>
      </w:pPr>
      <w:r w:rsidRPr="007C479C">
        <w:rPr>
          <w:rFonts w:ascii="KaiTi" w:eastAsia="KaiTi" w:hAnsi="KaiTi" w:hint="eastAsia"/>
          <w:szCs w:val="24"/>
        </w:rPr>
        <w:t>本學會《台灣政治學刊》之申辦單位，僅限於國內政治學相關教學單位或研究機構。</w:t>
      </w:r>
    </w:p>
    <w:p w14:paraId="51732586" w14:textId="77777777" w:rsidR="008E7C28" w:rsidRPr="007C479C" w:rsidRDefault="008E7C28" w:rsidP="008E7C28">
      <w:pPr>
        <w:pStyle w:val="a3"/>
        <w:numPr>
          <w:ilvl w:val="0"/>
          <w:numId w:val="1"/>
        </w:numPr>
        <w:ind w:leftChars="0" w:right="200"/>
        <w:rPr>
          <w:rFonts w:ascii="KaiTi" w:eastAsia="KaiTi" w:hAnsi="KaiTi"/>
          <w:szCs w:val="24"/>
        </w:rPr>
      </w:pPr>
      <w:r w:rsidRPr="007C479C">
        <w:rPr>
          <w:rFonts w:ascii="KaiTi" w:eastAsia="KaiTi" w:hAnsi="KaiTi" w:hint="eastAsia"/>
          <w:szCs w:val="24"/>
        </w:rPr>
        <w:t>申辦單位須填具申辦表格，說明配合款項及人員配置情形，送交本學會理事會進行審查與議決。</w:t>
      </w:r>
    </w:p>
    <w:p w14:paraId="497365AA" w14:textId="77777777" w:rsidR="008E7C28" w:rsidRPr="007C479C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KaiTi" w:eastAsia="KaiTi" w:hAnsi="KaiTi"/>
          <w:szCs w:val="24"/>
        </w:rPr>
      </w:pPr>
      <w:r w:rsidRPr="007C479C">
        <w:rPr>
          <w:rFonts w:ascii="KaiTi" w:eastAsia="KaiTi" w:hAnsi="KaiTi" w:hint="eastAsia"/>
          <w:szCs w:val="24"/>
        </w:rPr>
        <w:t>本學會對於已審查通過辦理《台灣政治學刊》之單位，在辦理期間每年提供新台幣十五萬元整，補助《台灣政治學刊》出版事宜。</w:t>
      </w:r>
    </w:p>
    <w:p w14:paraId="6B0FF862" w14:textId="77777777" w:rsidR="00103D29" w:rsidRPr="007C479C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KaiTi" w:eastAsia="KaiTi" w:hAnsi="KaiTi"/>
          <w:szCs w:val="24"/>
        </w:rPr>
      </w:pPr>
      <w:r w:rsidRPr="007C479C">
        <w:rPr>
          <w:rFonts w:ascii="KaiTi" w:eastAsia="KaiTi" w:hAnsi="KaiTi" w:hint="eastAsia"/>
          <w:szCs w:val="24"/>
        </w:rPr>
        <w:t>《台灣政治學刊》之申辦</w:t>
      </w:r>
      <w:r w:rsidR="006379E4" w:rsidRPr="007C479C">
        <w:rPr>
          <w:rFonts w:ascii="KaiTi" w:eastAsia="KaiTi" w:hAnsi="KaiTi" w:hint="eastAsia"/>
          <w:szCs w:val="24"/>
        </w:rPr>
        <w:t>以</w:t>
      </w:r>
      <w:r w:rsidRPr="007C479C">
        <w:rPr>
          <w:rFonts w:ascii="KaiTi" w:eastAsia="KaiTi" w:hAnsi="KaiTi" w:hint="eastAsia"/>
          <w:szCs w:val="24"/>
        </w:rPr>
        <w:t>五年為期，惟本學會理事會得考量實際出刊情形，隨時終止承辦。</w:t>
      </w:r>
    </w:p>
    <w:p w14:paraId="5EB8A855" w14:textId="77777777" w:rsidR="00103D29" w:rsidRPr="007C479C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KaiTi" w:eastAsia="KaiTi" w:hAnsi="KaiTi"/>
          <w:szCs w:val="24"/>
        </w:rPr>
      </w:pPr>
      <w:r w:rsidRPr="007C479C">
        <w:rPr>
          <w:rFonts w:ascii="KaiTi" w:eastAsia="KaiTi" w:hAnsi="KaiTi" w:hint="eastAsia"/>
          <w:szCs w:val="24"/>
        </w:rPr>
        <w:t>承辦單位應依據本學會《台灣政治學刊》出版辦法。</w:t>
      </w:r>
    </w:p>
    <w:p w14:paraId="6D1EB1E6" w14:textId="77777777" w:rsidR="00103D29" w:rsidRPr="007C479C" w:rsidRDefault="00103D29" w:rsidP="00103D29">
      <w:pPr>
        <w:pStyle w:val="a3"/>
        <w:numPr>
          <w:ilvl w:val="0"/>
          <w:numId w:val="1"/>
        </w:numPr>
        <w:ind w:leftChars="0" w:right="200"/>
        <w:rPr>
          <w:rFonts w:ascii="KaiTi" w:eastAsia="KaiTi" w:hAnsi="KaiTi"/>
          <w:szCs w:val="24"/>
        </w:rPr>
      </w:pPr>
      <w:r w:rsidRPr="007C479C">
        <w:rPr>
          <w:rFonts w:ascii="KaiTi" w:eastAsia="KaiTi" w:hAnsi="KaiTi" w:hint="eastAsia"/>
          <w:szCs w:val="24"/>
        </w:rPr>
        <w:t>本要點經本學會理事會通過向本學會會員大會報備後實施，修正時亦同。</w:t>
      </w:r>
    </w:p>
    <w:p w14:paraId="535E67E1" w14:textId="67C40917" w:rsidR="00F2458D" w:rsidRPr="007C479C" w:rsidRDefault="007C479C" w:rsidP="007C479C">
      <w:pPr>
        <w:widowControl/>
        <w:rPr>
          <w:rFonts w:ascii="KaiTi" w:eastAsia="KaiTi" w:hAnsi="KaiTi" w:hint="eastAsia"/>
          <w:szCs w:val="24"/>
        </w:rPr>
      </w:pPr>
      <w:r>
        <w:rPr>
          <w:rFonts w:ascii="KaiTi" w:eastAsia="KaiTi" w:hAnsi="KaiTi"/>
          <w:szCs w:val="24"/>
        </w:rPr>
        <w:br w:type="page"/>
      </w:r>
    </w:p>
    <w:p w14:paraId="23D22171" w14:textId="77777777" w:rsidR="00F2458D" w:rsidRPr="007C479C" w:rsidRDefault="00F2458D" w:rsidP="00F2458D">
      <w:pPr>
        <w:jc w:val="center"/>
        <w:rPr>
          <w:rFonts w:ascii="KaiTi" w:eastAsia="KaiTi" w:hAnsi="KaiTi" w:cs="Times New Roman"/>
          <w:sz w:val="36"/>
          <w:szCs w:val="36"/>
        </w:rPr>
      </w:pPr>
      <w:r w:rsidRPr="007C479C">
        <w:rPr>
          <w:rFonts w:ascii="KaiTi" w:eastAsia="KaiTi" w:hAnsi="KaiTi" w:cs="Times New Roman"/>
          <w:sz w:val="36"/>
          <w:szCs w:val="36"/>
        </w:rPr>
        <w:lastRenderedPageBreak/>
        <w:t>台灣政治學</w:t>
      </w:r>
      <w:r w:rsidRPr="007C479C">
        <w:rPr>
          <w:rFonts w:ascii="KaiTi" w:eastAsia="KaiTi" w:hAnsi="KaiTi" w:cs="Times New Roman" w:hint="eastAsia"/>
          <w:sz w:val="36"/>
          <w:szCs w:val="36"/>
        </w:rPr>
        <w:t>會《台灣政治學刊》</w:t>
      </w:r>
      <w:r w:rsidRPr="007C479C">
        <w:rPr>
          <w:rFonts w:ascii="KaiTi" w:eastAsia="KaiTi" w:hAnsi="KaiTi" w:cs="Times New Roman"/>
          <w:sz w:val="36"/>
          <w:szCs w:val="36"/>
        </w:rPr>
        <w:t>申辦表格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260"/>
        <w:gridCol w:w="2160"/>
      </w:tblGrid>
      <w:tr w:rsidR="00F2458D" w:rsidRPr="007C479C" w14:paraId="4E02C5F7" w14:textId="77777777" w:rsidTr="00343356">
        <w:trPr>
          <w:trHeight w:val="663"/>
        </w:trPr>
        <w:tc>
          <w:tcPr>
            <w:tcW w:w="1800" w:type="dxa"/>
            <w:vAlign w:val="center"/>
          </w:tcPr>
          <w:p w14:paraId="4F59BAF3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 w:hint="eastAsia"/>
              </w:rPr>
              <w:t>申辦單位</w:t>
            </w:r>
          </w:p>
        </w:tc>
        <w:tc>
          <w:tcPr>
            <w:tcW w:w="3060" w:type="dxa"/>
            <w:vAlign w:val="center"/>
          </w:tcPr>
          <w:p w14:paraId="4065E062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</w:p>
        </w:tc>
        <w:tc>
          <w:tcPr>
            <w:tcW w:w="1260" w:type="dxa"/>
            <w:vAlign w:val="center"/>
          </w:tcPr>
          <w:p w14:paraId="1F5DDCDB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 w:hint="eastAsia"/>
              </w:rPr>
              <w:t>單位主管</w:t>
            </w:r>
          </w:p>
        </w:tc>
        <w:tc>
          <w:tcPr>
            <w:tcW w:w="2160" w:type="dxa"/>
            <w:vAlign w:val="center"/>
          </w:tcPr>
          <w:p w14:paraId="6EEE7B72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</w:p>
        </w:tc>
      </w:tr>
      <w:tr w:rsidR="00F2458D" w:rsidRPr="007C479C" w14:paraId="25B4903A" w14:textId="77777777" w:rsidTr="00343356">
        <w:trPr>
          <w:cantSplit/>
          <w:trHeight w:val="677"/>
        </w:trPr>
        <w:tc>
          <w:tcPr>
            <w:tcW w:w="1800" w:type="dxa"/>
            <w:vAlign w:val="center"/>
          </w:tcPr>
          <w:p w14:paraId="5B7170D1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/>
              </w:rPr>
              <w:t>連絡地址</w:t>
            </w:r>
          </w:p>
        </w:tc>
        <w:tc>
          <w:tcPr>
            <w:tcW w:w="6480" w:type="dxa"/>
            <w:gridSpan w:val="3"/>
            <w:vAlign w:val="center"/>
          </w:tcPr>
          <w:p w14:paraId="2A01E4D5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</w:p>
        </w:tc>
      </w:tr>
      <w:tr w:rsidR="00F2458D" w:rsidRPr="007C479C" w14:paraId="07CA615E" w14:textId="77777777" w:rsidTr="00343356">
        <w:trPr>
          <w:cantSplit/>
          <w:trHeight w:val="677"/>
        </w:trPr>
        <w:tc>
          <w:tcPr>
            <w:tcW w:w="1800" w:type="dxa"/>
            <w:vAlign w:val="center"/>
          </w:tcPr>
          <w:p w14:paraId="1B0DDA8A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 w:hint="eastAsia"/>
              </w:rPr>
              <w:t>申辦期限</w:t>
            </w:r>
          </w:p>
        </w:tc>
        <w:tc>
          <w:tcPr>
            <w:tcW w:w="6480" w:type="dxa"/>
            <w:gridSpan w:val="3"/>
            <w:vAlign w:val="center"/>
          </w:tcPr>
          <w:p w14:paraId="7D858EF6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 w:hint="eastAsia"/>
              </w:rPr>
              <w:t>民國    年    月至民國    年    月</w:t>
            </w:r>
          </w:p>
        </w:tc>
      </w:tr>
      <w:tr w:rsidR="00F2458D" w:rsidRPr="007C479C" w14:paraId="7AA68BF8" w14:textId="77777777" w:rsidTr="00343356">
        <w:trPr>
          <w:cantSplit/>
          <w:trHeight w:val="607"/>
        </w:trPr>
        <w:tc>
          <w:tcPr>
            <w:tcW w:w="1800" w:type="dxa"/>
            <w:vAlign w:val="center"/>
          </w:tcPr>
          <w:p w14:paraId="7A05F922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/>
              </w:rPr>
              <w:t>連絡電話</w:t>
            </w:r>
          </w:p>
        </w:tc>
        <w:tc>
          <w:tcPr>
            <w:tcW w:w="3060" w:type="dxa"/>
          </w:tcPr>
          <w:p w14:paraId="52339113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 w:hint="eastAsia"/>
              </w:rPr>
              <w:t>（公）</w:t>
            </w:r>
          </w:p>
          <w:p w14:paraId="1F516C2F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 w:hint="eastAsia"/>
              </w:rPr>
              <w:t>（</w:t>
            </w:r>
            <w:r w:rsidRPr="007C479C">
              <w:rPr>
                <w:rFonts w:ascii="KaiTi" w:eastAsia="KaiTi" w:hAnsi="KaiTi"/>
              </w:rPr>
              <w:t>手機</w:t>
            </w:r>
            <w:r w:rsidRPr="007C479C">
              <w:rPr>
                <w:rFonts w:ascii="KaiTi" w:eastAsia="KaiTi" w:hAnsi="KaiTi" w:hint="eastAsia"/>
              </w:rPr>
              <w:t>）</w:t>
            </w:r>
          </w:p>
        </w:tc>
        <w:tc>
          <w:tcPr>
            <w:tcW w:w="1260" w:type="dxa"/>
            <w:vAlign w:val="center"/>
          </w:tcPr>
          <w:p w14:paraId="11AFF83B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/>
              </w:rPr>
              <w:t>傳    真</w:t>
            </w:r>
          </w:p>
        </w:tc>
        <w:tc>
          <w:tcPr>
            <w:tcW w:w="2160" w:type="dxa"/>
            <w:vAlign w:val="center"/>
          </w:tcPr>
          <w:p w14:paraId="26D2A8E8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</w:p>
        </w:tc>
      </w:tr>
      <w:tr w:rsidR="00F2458D" w:rsidRPr="007C479C" w14:paraId="4DBD3B4F" w14:textId="77777777" w:rsidTr="00343356">
        <w:trPr>
          <w:cantSplit/>
          <w:trHeight w:val="6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2549211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/>
              </w:rPr>
              <w:t>電子信箱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14:paraId="61748272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</w:p>
        </w:tc>
      </w:tr>
      <w:tr w:rsidR="007C479C" w:rsidRPr="007C479C" w14:paraId="686E495A" w14:textId="77777777" w:rsidTr="007C479C">
        <w:trPr>
          <w:cantSplit/>
          <w:trHeight w:val="393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3698EAB" w14:textId="6A00F442" w:rsidR="007C479C" w:rsidRPr="007C479C" w:rsidRDefault="007C479C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/>
              </w:rPr>
              <w:t>簡述</w:t>
            </w:r>
            <w:r w:rsidRPr="007C479C">
              <w:rPr>
                <w:rFonts w:ascii="KaiTi" w:eastAsia="KaiTi" w:hAnsi="KaiTi" w:hint="eastAsia"/>
              </w:rPr>
              <w:t>申辦條件（配合款項及人員配置）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vAlign w:val="center"/>
          </w:tcPr>
          <w:p w14:paraId="7392F92E" w14:textId="77777777" w:rsidR="007C479C" w:rsidRPr="007C479C" w:rsidRDefault="007C479C" w:rsidP="007C479C">
            <w:pPr>
              <w:rPr>
                <w:rFonts w:ascii="KaiTi" w:eastAsia="KaiTi" w:hAnsi="KaiTi"/>
              </w:rPr>
            </w:pPr>
          </w:p>
        </w:tc>
      </w:tr>
      <w:tr w:rsidR="00F2458D" w:rsidRPr="007C479C" w14:paraId="21F56C93" w14:textId="77777777" w:rsidTr="007C479C">
        <w:trPr>
          <w:cantSplit/>
          <w:trHeight w:val="89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289C2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  <w:r w:rsidRPr="007C479C">
              <w:rPr>
                <w:rFonts w:ascii="KaiTi" w:eastAsia="KaiTi" w:hAnsi="KaiTi" w:hint="eastAsia"/>
              </w:rPr>
              <w:t>單位主管簽章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BAB3E" w14:textId="77777777" w:rsidR="00F2458D" w:rsidRPr="007C479C" w:rsidRDefault="00F2458D" w:rsidP="007C479C">
            <w:pPr>
              <w:rPr>
                <w:rFonts w:ascii="KaiTi" w:eastAsia="KaiTi" w:hAnsi="KaiTi"/>
              </w:rPr>
            </w:pPr>
          </w:p>
        </w:tc>
      </w:tr>
    </w:tbl>
    <w:p w14:paraId="5F531167" w14:textId="77777777" w:rsidR="00F2458D" w:rsidRPr="007C479C" w:rsidRDefault="00F2458D" w:rsidP="008E7C28">
      <w:pPr>
        <w:ind w:right="200"/>
        <w:rPr>
          <w:rFonts w:ascii="KaiTi" w:eastAsia="KaiTi" w:hAnsi="KaiTi" w:hint="eastAsia"/>
          <w:szCs w:val="24"/>
        </w:rPr>
      </w:pPr>
    </w:p>
    <w:sectPr w:rsidR="00F2458D" w:rsidRPr="007C47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E1E9" w14:textId="77777777" w:rsidR="00B65DAA" w:rsidRDefault="00B65DAA" w:rsidP="006379E4">
      <w:r>
        <w:separator/>
      </w:r>
    </w:p>
  </w:endnote>
  <w:endnote w:type="continuationSeparator" w:id="0">
    <w:p w14:paraId="4DC92DFE" w14:textId="77777777" w:rsidR="00B65DAA" w:rsidRDefault="00B65DAA" w:rsidP="0063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0CD1" w14:textId="77777777" w:rsidR="00B65DAA" w:rsidRDefault="00B65DAA" w:rsidP="006379E4">
      <w:r>
        <w:separator/>
      </w:r>
    </w:p>
  </w:footnote>
  <w:footnote w:type="continuationSeparator" w:id="0">
    <w:p w14:paraId="48B4F96F" w14:textId="77777777" w:rsidR="00B65DAA" w:rsidRDefault="00B65DAA" w:rsidP="0063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3718"/>
    <w:multiLevelType w:val="hybridMultilevel"/>
    <w:tmpl w:val="BFE8B2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605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EBB"/>
    <w:rsid w:val="00103D29"/>
    <w:rsid w:val="006379E4"/>
    <w:rsid w:val="007C479C"/>
    <w:rsid w:val="00884C53"/>
    <w:rsid w:val="008E7C28"/>
    <w:rsid w:val="00B4506F"/>
    <w:rsid w:val="00B52EFA"/>
    <w:rsid w:val="00B65DAA"/>
    <w:rsid w:val="00F04EBB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C9B8F"/>
  <w15:docId w15:val="{69D6B6C4-681B-CA4A-B4DE-B70EAAB1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7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7C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9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9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sawa chen</cp:lastModifiedBy>
  <cp:revision>7</cp:revision>
  <dcterms:created xsi:type="dcterms:W3CDTF">2014-03-12T12:00:00Z</dcterms:created>
  <dcterms:modified xsi:type="dcterms:W3CDTF">2024-04-16T08:11:00Z</dcterms:modified>
</cp:coreProperties>
</file>